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COD-583在线高锰酸盐指数监测仪</w:t>
      </w:r>
    </w:p>
    <w:p>
      <w:r>
        <w:rPr/>
        <w:t xml:space="preserve">COD-583在线高锰酸盐指数监测仪是基于中国国家标准方法高锰酸钾氧化法的新一代全自动COD在线分析仪，该产品是仪电科技在多年水质分析类产品研究基础上推出的一款免维护在线检测仪器。适用于污染源和地表水的测量，也可以适用于化工行业、污水处理过程中的在线监测。</w:t>
      </w:r>
    </w:p>
    <w:p>
      <w:r>
        <w:br/>
      </w:r>
    </w:p>
    <w:p>
      <w:r>
        <w:rPr/>
        <w:t xml:space="preserve">● 本仪器采用高锰酸钾氧化-化学测量滴定法，可消除颜色和浊度的误差；</w:t>
      </w:r>
    </w:p>
    <w:p>
      <w:r>
        <w:rPr/>
        <w:t xml:space="preserve">● 独特的设计，使其较之同类产品具有更低故障率、维护量、试剂消耗量，更高的性价比和更强的抗干扰能力；</w:t>
      </w:r>
    </w:p>
    <w:p>
      <w:r>
        <w:rPr/>
        <w:t xml:space="preserve">● 采用进样计量系统，每个样品单独计量，测量准确，无试剂混合交叉污染；</w:t>
      </w:r>
    </w:p>
    <w:p>
      <w:r>
        <w:rPr/>
        <w:t xml:space="preserve">● 滴定系统最小滴定量为0.0025mL，确保测量的准确；</w:t>
      </w:r>
    </w:p>
    <w:p>
      <w:r>
        <w:rPr/>
        <w:t xml:space="preserve">● 采用进口FEP透明软管，管径大于1.0mm，减少了水样颗粒堵塞几率；</w:t>
      </w:r>
    </w:p>
    <w:p>
      <w:r>
        <w:rPr/>
        <w:t xml:space="preserve">● 支持零点核查和量程核查，防止零点漂移和量程漂移所带来的系统误差；</w:t>
      </w:r>
    </w:p>
    <w:p>
      <w:r>
        <w:rPr/>
        <w:t xml:space="preserve">● 断电保护设计，具有断电、再上电数据自动恢复功能；</w:t>
      </w:r>
    </w:p>
    <w:p>
      <w:r>
        <w:rPr/>
        <w:t xml:space="preserve">● 支持多层密码保护功能；</w:t>
      </w:r>
    </w:p>
    <w:p>
      <w:r>
        <w:rPr/>
        <w:t xml:space="preserve">● 智能故障自诊断功能，仪器管理和维护十分方便；</w:t>
      </w:r>
    </w:p>
    <w:p>
      <w:r>
        <w:rPr/>
        <w:t xml:space="preserve">● 支持RS-232/RS485输出，具有网络功能，通过网络可实现数据远程控制；</w:t>
      </w:r>
    </w:p>
    <w:p>
      <w:r>
        <w:rPr/>
        <w:t xml:space="preserve">● 采用顺序注射分析法，流路简单，试剂消耗低，自动化程度高；</w:t>
      </w:r>
    </w:p>
    <w:p>
      <w:r>
        <w:rPr/>
        <w:t xml:space="preserve">● 采用多通道阀，防腐性能强，使用寿命长，安全可靠。</w:t>
      </w:r>
    </w:p>
    <w:p>
      <w:pPr>
        <w:pStyle w:val="Heading2"/>
      </w:pPr>
      <w:r>
        <w:t xml:space="preserve">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型号</w:t>
            </w:r>
          </w:p>
          <w:p/>
        </w:tc>
        <w:tc>
          <w:tcPr>
            <w:tcW w:w="4930" w:type="dxa"/>
            <w:vAlign w:val="center"/>
          </w:tcPr>
          <w:p>
            <w:r>
              <w:rPr/>
              <w:t xml:space="preserve">COD-583型在线高锰酸盐指数监测仪</w:t>
            </w:r>
          </w:p>
          <w:p/>
        </w:tc>
      </w:tr>
      <w:tr>
        <w:trPr/>
        <w:tc>
          <w:tcPr>
            <w:tcW w:w="4930" w:type="dxa"/>
            <w:vAlign w:val="center"/>
          </w:tcPr>
          <w:p>
            <w:r>
              <w:rPr/>
              <w:t xml:space="preserve">测量方法</w:t>
            </w:r>
          </w:p>
          <w:p/>
        </w:tc>
        <w:tc>
          <w:tcPr>
            <w:tcW w:w="4930" w:type="dxa"/>
            <w:vAlign w:val="center"/>
          </w:tcPr>
          <w:p>
            <w:r>
              <w:rPr/>
              <w:t xml:space="preserve">高锰酸钾氧化-化学测量滴定法</w:t>
            </w:r>
          </w:p>
          <w:p/>
        </w:tc>
      </w:tr>
      <w:tr>
        <w:trPr/>
        <w:tc>
          <w:tcPr>
            <w:tcW w:w="4930" w:type="dxa"/>
            <w:vAlign w:val="center"/>
          </w:tcPr>
          <w:p>
            <w:r>
              <w:rPr/>
              <w:t xml:space="preserve">测量范围</w:t>
            </w:r>
          </w:p>
          <w:p/>
        </w:tc>
        <w:tc>
          <w:tcPr>
            <w:tcW w:w="4930" w:type="dxa"/>
            <w:vAlign w:val="center"/>
          </w:tcPr>
          <w:p>
            <w:r>
              <w:rPr/>
              <w:t xml:space="preserve">0-20mg/L，20-100 mg/L</w:t>
            </w:r>
          </w:p>
          <w:p/>
        </w:tc>
      </w:tr>
      <w:tr>
        <w:trPr/>
        <w:tc>
          <w:tcPr>
            <w:tcW w:w="4930" w:type="dxa"/>
            <w:vAlign w:val="center"/>
          </w:tcPr>
          <w:p>
            <w:r>
              <w:rPr/>
              <w:t xml:space="preserve">准确度</w:t>
            </w:r>
          </w:p>
          <w:p/>
        </w:tc>
        <w:tc>
          <w:tcPr>
            <w:tcW w:w="4930" w:type="dxa"/>
            <w:vAlign w:val="center"/>
          </w:tcPr>
          <w:p>
            <w:r>
              <w:rPr/>
              <w:t xml:space="preserve">示值误差≤±5%</w:t>
            </w:r>
          </w:p>
          <w:p/>
        </w:tc>
      </w:tr>
      <w:tr>
        <w:trPr/>
        <w:tc>
          <w:tcPr>
            <w:tcW w:w="4930" w:type="dxa"/>
            <w:vAlign w:val="center"/>
          </w:tcPr>
          <w:p>
            <w:r>
              <w:rPr/>
              <w:t xml:space="preserve">重复性误差</w:t>
            </w:r>
          </w:p>
          <w:p/>
        </w:tc>
        <w:tc>
          <w:tcPr>
            <w:tcW w:w="4930" w:type="dxa"/>
            <w:vAlign w:val="center"/>
          </w:tcPr>
          <w:p>
            <w:r>
              <w:rPr/>
              <w:t xml:space="preserve">≤±5%</w:t>
            </w:r>
          </w:p>
          <w:p/>
        </w:tc>
      </w:tr>
      <w:tr>
        <w:trPr/>
        <w:tc>
          <w:tcPr>
            <w:tcW w:w="4930" w:type="dxa"/>
            <w:vAlign w:val="center"/>
          </w:tcPr>
          <w:p>
            <w:r>
              <w:rPr/>
              <w:t xml:space="preserve">检测下限</w:t>
            </w:r>
          </w:p>
          <w:p/>
        </w:tc>
        <w:tc>
          <w:tcPr>
            <w:tcW w:w="4930" w:type="dxa"/>
            <w:vAlign w:val="center"/>
          </w:tcPr>
          <w:p>
            <w:r>
              <w:rPr/>
              <w:t xml:space="preserve">1 mg/L</w:t>
            </w:r>
          </w:p>
          <w:p/>
        </w:tc>
      </w:tr>
      <w:tr>
        <w:trPr/>
        <w:tc>
          <w:tcPr>
            <w:tcW w:w="4930" w:type="dxa"/>
            <w:vAlign w:val="center"/>
          </w:tcPr>
          <w:p>
            <w:r>
              <w:rPr/>
              <w:t xml:space="preserve">测量周期</w:t>
            </w:r>
          </w:p>
          <w:p/>
        </w:tc>
        <w:tc>
          <w:tcPr>
            <w:tcW w:w="4930" w:type="dxa"/>
            <w:vAlign w:val="center"/>
          </w:tcPr>
          <w:p>
            <w:r>
              <w:rPr/>
              <w:t xml:space="preserve">最小测量周期为40min</w:t>
            </w:r>
          </w:p>
          <w:p/>
        </w:tc>
      </w:tr>
      <w:tr>
        <w:trPr/>
        <w:tc>
          <w:tcPr>
            <w:tcW w:w="4930" w:type="dxa"/>
            <w:vAlign w:val="center"/>
          </w:tcPr>
          <w:p>
            <w:r>
              <w:rPr/>
              <w:t xml:space="preserve">采样周期</w:t>
            </w:r>
          </w:p>
          <w:p/>
        </w:tc>
        <w:tc>
          <w:tcPr>
            <w:tcW w:w="4930" w:type="dxa"/>
            <w:vAlign w:val="center"/>
          </w:tcPr>
          <w:p>
            <w:r>
              <w:rPr/>
              <w:t xml:space="preserve">时间间隔（20-9999min任意可调）和整点测量模式</w:t>
            </w:r>
          </w:p>
          <w:p/>
        </w:tc>
      </w:tr>
      <w:tr>
        <w:trPr/>
        <w:tc>
          <w:tcPr>
            <w:tcW w:w="4930" w:type="dxa"/>
            <w:vAlign w:val="center"/>
          </w:tcPr>
          <w:p>
            <w:r>
              <w:rPr/>
              <w:t xml:space="preserve">校正</w:t>
            </w:r>
          </w:p>
          <w:p/>
        </w:tc>
        <w:tc>
          <w:tcPr>
            <w:tcW w:w="4930" w:type="dxa"/>
            <w:vAlign w:val="center"/>
          </w:tcPr>
          <w:p>
            <w:r>
              <w:rPr/>
              <w:t xml:space="preserve">仪器可定时进行灵敏度和零点校正</w:t>
            </w:r>
          </w:p>
          <w:p/>
        </w:tc>
      </w:tr>
      <w:tr>
        <w:trPr/>
        <w:tc>
          <w:tcPr>
            <w:tcW w:w="4930" w:type="dxa"/>
            <w:vAlign w:val="center"/>
          </w:tcPr>
          <w:p>
            <w:r>
              <w:rPr/>
              <w:t xml:space="preserve">校正周期</w:t>
            </w:r>
          </w:p>
          <w:p/>
        </w:tc>
        <w:tc>
          <w:tcPr>
            <w:tcW w:w="4930" w:type="dxa"/>
            <w:vAlign w:val="center"/>
          </w:tcPr>
          <w:p>
            <w:r>
              <w:rPr/>
              <w:t xml:space="preserve">1-99天任意间隔任意时间可调</w:t>
            </w:r>
          </w:p>
          <w:p/>
        </w:tc>
      </w:tr>
      <w:tr>
        <w:trPr/>
        <w:tc>
          <w:tcPr>
            <w:tcW w:w="4930" w:type="dxa"/>
            <w:vAlign w:val="center"/>
          </w:tcPr>
          <w:p>
            <w:r>
              <w:rPr/>
              <w:t xml:space="preserve">维护周期</w:t>
            </w:r>
          </w:p>
          <w:p/>
        </w:tc>
        <w:tc>
          <w:tcPr>
            <w:tcW w:w="4930" w:type="dxa"/>
            <w:vAlign w:val="center"/>
          </w:tcPr>
          <w:p>
            <w:r>
              <w:rPr/>
              <w:t xml:space="preserve">一般每月1次，每次约30min</w:t>
            </w:r>
          </w:p>
          <w:p/>
        </w:tc>
      </w:tr>
      <w:tr>
        <w:trPr/>
        <w:tc>
          <w:tcPr>
            <w:tcW w:w="4930" w:type="dxa"/>
            <w:vAlign w:val="center"/>
          </w:tcPr>
          <w:p>
            <w:r>
              <w:rPr/>
              <w:t xml:space="preserve">模拟输出</w:t>
            </w:r>
          </w:p>
          <w:p/>
        </w:tc>
        <w:tc>
          <w:tcPr>
            <w:tcW w:w="4930" w:type="dxa"/>
            <w:vAlign w:val="center"/>
          </w:tcPr>
          <w:p>
            <w:r>
              <w:rPr/>
              <w:t xml:space="preserve">1路4-20mA输出（可选2路4-20mA输出）</w:t>
            </w:r>
          </w:p>
          <w:p/>
        </w:tc>
      </w:tr>
      <w:tr>
        <w:trPr/>
        <w:tc>
          <w:tcPr>
            <w:tcW w:w="4930" w:type="dxa"/>
            <w:vAlign w:val="center"/>
          </w:tcPr>
          <w:p>
            <w:r>
              <w:rPr/>
              <w:t xml:space="preserve">信号接口</w:t>
            </w:r>
          </w:p>
          <w:p/>
        </w:tc>
        <w:tc>
          <w:tcPr>
            <w:tcW w:w="4930" w:type="dxa"/>
            <w:vAlign w:val="center"/>
          </w:tcPr>
          <w:p>
            <w:r>
              <w:rPr/>
              <w:t xml:space="preserve">RS232/RS485</w:t>
            </w:r>
          </w:p>
          <w:p/>
        </w:tc>
      </w:tr>
      <w:tr>
        <w:trPr/>
        <w:tc>
          <w:tcPr>
            <w:tcW w:w="4930" w:type="dxa"/>
            <w:vAlign w:val="center"/>
          </w:tcPr>
          <w:p>
            <w:r>
              <w:rPr/>
              <w:t xml:space="preserve">开关量</w:t>
            </w:r>
          </w:p>
          <w:p/>
        </w:tc>
        <w:tc>
          <w:tcPr>
            <w:tcW w:w="4930" w:type="dxa"/>
            <w:vAlign w:val="center"/>
          </w:tcPr>
          <w:p>
            <w:r>
              <w:rPr/>
              <w:t xml:space="preserve">可选1-6路继电器输出，容量220VAC/2A</w:t>
            </w:r>
          </w:p>
          <w:p/>
        </w:tc>
      </w:tr>
      <w:tr>
        <w:trPr/>
        <w:tc>
          <w:tcPr>
            <w:tcW w:w="4930" w:type="dxa"/>
            <w:vAlign w:val="center"/>
          </w:tcPr>
          <w:p>
            <w:r>
              <w:rPr/>
              <w:t xml:space="preserve">环境要求</w:t>
            </w:r>
          </w:p>
          <w:p/>
        </w:tc>
        <w:tc>
          <w:tcPr>
            <w:tcW w:w="4930" w:type="dxa"/>
            <w:vAlign w:val="center"/>
          </w:tcPr>
          <w:p>
            <w:r>
              <w:rPr/>
              <w:t xml:space="preserve">建议温度（5-35）℃，湿度≤85%（不结露）</w:t>
            </w:r>
          </w:p>
          <w:p/>
        </w:tc>
      </w:tr>
      <w:tr>
        <w:trPr/>
        <w:tc>
          <w:tcPr>
            <w:tcW w:w="4930" w:type="dxa"/>
            <w:vAlign w:val="center"/>
          </w:tcPr>
          <w:p>
            <w:r>
              <w:rPr/>
              <w:t xml:space="preserve">电源</w:t>
            </w:r>
          </w:p>
          <w:p/>
        </w:tc>
        <w:tc>
          <w:tcPr>
            <w:tcW w:w="4930" w:type="dxa"/>
            <w:vAlign w:val="center"/>
          </w:tcPr>
          <w:p>
            <w:r>
              <w:rPr/>
              <w:t xml:space="preserve">AC:(220±22)V，（50±5）Hz，5A</w:t>
            </w:r>
          </w:p>
          <w:p/>
        </w:tc>
      </w:tr>
      <w:tr>
        <w:trPr/>
        <w:tc>
          <w:tcPr>
            <w:tcW w:w="4930" w:type="dxa"/>
            <w:vAlign w:val="center"/>
          </w:tcPr>
          <w:p>
            <w:r>
              <w:rPr/>
              <w:t xml:space="preserve">尺寸（mm），重量（kg）</w:t>
            </w:r>
          </w:p>
          <w:p/>
        </w:tc>
        <w:tc>
          <w:tcPr>
            <w:tcW w:w="4930" w:type="dxa"/>
            <w:vAlign w:val="center"/>
          </w:tcPr>
          <w:p>
            <w:r>
              <w:rPr/>
              <w:t xml:space="preserve">550×400×1680，50</w:t>
            </w:r>
          </w:p>
          <w:p/>
        </w:tc>
      </w:tr>
      <w:tr>
        <w:trPr/>
        <w:tc>
          <w:tcPr>
            <w:tcW w:w="4930" w:type="dxa"/>
            <w:vAlign w:val="center"/>
          </w:tcPr>
          <w:p>
            <w:r>
              <w:rPr/>
              <w:t xml:space="preserve">其他</w:t>
            </w:r>
          </w:p>
          <w:p/>
        </w:tc>
        <w:tc>
          <w:tcPr>
            <w:tcW w:w="4930" w:type="dxa"/>
            <w:vAlign w:val="center"/>
          </w:tcPr>
          <w:p>
            <w:r>
              <w:rPr/>
              <w:t xml:space="preserve">异常报警和断电不会丢失数据，触摸屏显示及指令输入，</w:t>
            </w:r>
          </w:p>
          <w:p>
            <w:r>
              <w:rPr/>
              <w:t xml:space="preserve">异常复位和断电后来电，仪器自动排除仪器内残留反应物，</w:t>
            </w:r>
          </w:p>
          <w:p>
            <w:r>
              <w:rPr/>
              <w:t xml:space="preserve">自动恢复工作状态。</w:t>
            </w:r>
          </w:p>
          <w:p/>
        </w:tc>
      </w:tr>
    </w:tbl>
    <w:p/>
    <w:p>
      <w:r>
        <w:br/>
      </w:r>
    </w:p>
    <w:p>
      <w:r>
        <w:br/>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website" Type="http://schemas.openxmlformats.org/officeDocument/2006/relationships/hyperlink" Target="https://www.shleici.cn/" TargetMode="External"/></Relationships>
</file>