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Id="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PHSJ-5T型实验室pH计</w:t>
      </w:r>
    </w:p>
    <w:p>
      <w:pPr>
        <w:pStyle w:val="Heading2"/>
      </w:pPr>
      <w:r>
        <w:t xml:space="preserve">产品图片</w:t>
      </w:r>
    </w:p>
    <w:p>
      <w:pPr>
        <w:jc w:val="center"/>
      </w:pPr>
      <w:r>
        <w:drawing>
          <wp:inline distT="0" distB="0" distL="0" distR="0">
            <wp:extent cx="3869397" cy="2900000"/>
            <wp:docPr id="1" name="产品图片 1"/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image1"/>
                    <a:stretch>
                      <a:fillRect/>
                    </a:stretch>
                  </pic:blipFill>
                  <pic:spPr>
                    <a:xfrm>
                      <a:off x="0" y="0"/>
                      <a:ext cx="3869397" cy="29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</w:pPr>
      <w:r>
        <w:drawing>
          <wp:inline distT="0" distB="0" distL="0" distR="0">
            <wp:extent cx="3869397" cy="2900000"/>
            <wp:docPr id="2" name="产品图片 2"/>
            <a:graphic>
              <a:graphicData uri="http://schemas.openxmlformats.org/drawingml/2006/picture">
                <pic:pic>
                  <pic:nvPicPr>
                    <pic:cNvPr id="2" name="image2.jpg"/>
                    <pic:cNvPicPr/>
                  </pic:nvPicPr>
                  <pic:blipFill>
                    <a:blip r:embed="image2"/>
                    <a:stretch>
                      <a:fillRect/>
                    </a:stretch>
                  </pic:blipFill>
                  <pic:spPr>
                    <a:xfrm>
                      <a:off x="0" y="0"/>
                      <a:ext cx="3869397" cy="29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 xml:space="preserve">产品描述</w:t>
      </w:r>
    </w:p>
    <w:p>
      <w:r>
        <w:rPr>
          <w:b/>
        </w:rPr>
        <w:t xml:space="preserve">主要特点</w:t>
      </w:r>
    </w:p>
    <w:p>
      <w:pPr>
        <w:ind w:left="280" w:hanging="220"/>
      </w:pPr>
      <w:r>
        <w:t>• </w:t>
      </w:r>
      <w:r>
        <w:rPr/>
        <w:t xml:space="preserve">7英寸彩色液晶触摸屏，显示清晰</w:t>
      </w:r>
    </w:p>
    <w:p>
      <w:pPr>
        <w:ind w:left="280" w:hanging="220"/>
      </w:pPr>
      <w:r>
        <w:t>• </w:t>
      </w:r>
      <w:r>
        <w:rPr/>
        <w:t xml:space="preserve">支持中英文</w:t>
      </w:r>
    </w:p>
    <w:p>
      <w:pPr>
        <w:ind w:left="280" w:hanging="220"/>
      </w:pPr>
      <w:r>
        <w:t>• </w:t>
      </w:r>
      <w:r>
        <w:rPr/>
        <w:t xml:space="preserve">三种分辨率可选：pH支持0.001pH、0.01pH和0.1pH，mV支持0.01mV、0.1mV和1mV</w:t>
      </w:r>
    </w:p>
    <w:p>
      <w:pPr>
        <w:ind w:left="280" w:hanging="220"/>
      </w:pPr>
      <w:r>
        <w:t>• </w:t>
      </w:r>
      <w:r>
        <w:rPr/>
        <w:t xml:space="preserve">温度单位可选：℃和 °F</w:t>
      </w:r>
    </w:p>
    <w:p>
      <w:pPr>
        <w:ind w:left="280" w:hanging="220"/>
      </w:pPr>
      <w:r>
        <w:t>• </w:t>
      </w:r>
      <w:r>
        <w:rPr/>
        <w:t xml:space="preserve">支持自动关机、断电保护和恢复出厂设置等功能</w:t>
      </w:r>
    </w:p>
    <w:p>
      <w:pPr>
        <w:ind w:left="280" w:hanging="220"/>
      </w:pPr>
      <w:r>
        <w:t>• </w:t>
      </w:r>
      <w:r>
        <w:rPr/>
        <w:t xml:space="preserve">支持固件升级功能</w:t>
      </w:r>
    </w:p>
    <w:p>
      <w:pPr>
        <w:ind w:left="280" w:hanging="220"/>
      </w:pPr>
      <w:r>
        <w:t>• </w:t>
      </w:r>
      <w:r>
        <w:rPr/>
        <w:t xml:space="preserve">支持IP54防护等级</w:t>
      </w:r>
    </w:p>
    <w:p>
      <w:pPr>
        <w:ind w:left="280" w:hanging="220"/>
      </w:pPr>
      <w:r>
        <w:t>• </w:t>
      </w:r>
      <w:r>
        <w:rPr/>
        <w:t xml:space="preserve">标配高精度复合pH电极、温度电极、独立电极支架、防尘罩和袋装pH缓冲溶液</w:t>
      </w:r>
    </w:p>
    <w:p>
      <w:r>
        <w:rPr>
          <w:b/>
        </w:rPr>
        <w:t xml:space="preserve">智能操作，自动识别，批量检测</w:t>
      </w:r>
    </w:p>
    <w:p>
      <w:pPr>
        <w:ind w:left="280" w:hanging="220"/>
      </w:pPr>
      <w:r>
        <w:t>• </w:t>
      </w:r>
      <w:r>
        <w:rPr/>
        <w:t xml:space="preserve">智能操作系统，具有方法管理、电极管理、数据管理、用户管理、GMP管理等功能</w:t>
      </w:r>
    </w:p>
    <w:p>
      <w:pPr>
        <w:ind w:left="280" w:hanging="220"/>
      </w:pPr>
      <w:r>
        <w:t>• </w:t>
      </w:r>
      <w:r>
        <w:rPr/>
        <w:t xml:space="preserve">支持电极管理，包括pH电极，ORP电极，可记录标定信息和核查信息</w:t>
      </w:r>
    </w:p>
    <w:p>
      <w:pPr>
        <w:ind w:left="280" w:hanging="220"/>
      </w:pPr>
      <w:r>
        <w:t>• </w:t>
      </w:r>
      <w:r>
        <w:rPr/>
        <w:t xml:space="preserve">支持仪器自检和用户三级权限管理，支持密码管理</w:t>
      </w:r>
    </w:p>
    <w:p>
      <w:pPr>
        <w:ind w:left="280" w:hanging="220"/>
      </w:pPr>
      <w:r>
        <w:t>• </w:t>
      </w:r>
      <w:r>
        <w:rPr/>
        <w:t xml:space="preserve">智能判别终点，支持连续读数、平衡读数、定时读数</w:t>
      </w:r>
    </w:p>
    <w:p>
      <w:pPr>
        <w:ind w:left="280" w:hanging="220"/>
      </w:pPr>
      <w:r>
        <w:t>• </w:t>
      </w:r>
      <w:r>
        <w:rPr/>
        <w:t xml:space="preserve">三种分辨率可选：pH支持0.001pH、0.01pH和0.1pH，mV支持0.01mV、0.1mV和1mV</w:t>
      </w:r>
    </w:p>
    <w:p>
      <w:pPr>
        <w:ind w:left="280" w:hanging="220"/>
      </w:pPr>
      <w:r>
        <w:t>• </w:t>
      </w:r>
      <w:r>
        <w:rPr/>
        <w:t xml:space="preserve">支持自动/手动温度补偿</w:t>
      </w:r>
    </w:p>
    <w:p>
      <w:pPr>
        <w:ind w:left="280" w:hanging="220"/>
      </w:pPr>
      <w:r>
        <w:t>• </w:t>
      </w:r>
      <w:r>
        <w:rPr/>
        <w:t xml:space="preserve">支持pH电极1-6点标定，ORP电极1点标定，支持pH电极诊断功能</w:t>
      </w:r>
    </w:p>
    <w:p>
      <w:pPr>
        <w:ind w:left="280" w:hanging="220"/>
      </w:pPr>
      <w:r>
        <w:t>• </w:t>
      </w:r>
      <w:r>
        <w:rPr/>
        <w:t xml:space="preserve">支持标定提醒和强制标定功能，支持pH标液核查和强制核查功能</w:t>
      </w:r>
    </w:p>
    <w:p>
      <w:pPr>
        <w:ind w:left="280" w:hanging="220"/>
      </w:pPr>
      <w:r>
        <w:t>• </w:t>
      </w:r>
      <w:r>
        <w:rPr/>
        <w:t xml:space="preserve">支持pH标定和测量报警限值设置，支持ORP测量报警限值设置</w:t>
      </w:r>
    </w:p>
    <w:p>
      <w:pPr>
        <w:ind w:left="280" w:hanging="220"/>
      </w:pPr>
      <w:r>
        <w:t>• </w:t>
      </w:r>
      <w:r>
        <w:rPr/>
        <w:t xml:space="preserve">具有pH标液组管理功能，自动识别GB、DIN、NIST、USA、MERK标液组，已有标液组组合和自定义标液组</w:t>
      </w:r>
    </w:p>
    <w:p>
      <w:pPr>
        <w:ind w:left="280" w:hanging="220"/>
      </w:pPr>
      <w:r>
        <w:t>• </w:t>
      </w:r>
      <w:r>
        <w:rPr/>
        <w:t xml:space="preserve">支持连接自动进样器，实现样品的自动测量和批量检测</w:t>
      </w:r>
    </w:p>
    <w:p>
      <w:r>
        <w:rPr>
          <w:b/>
        </w:rPr>
        <w:t xml:space="preserve">数据管理，信息追溯</w:t>
      </w:r>
    </w:p>
    <w:p>
      <w:pPr>
        <w:ind w:left="280" w:hanging="220"/>
      </w:pPr>
      <w:r>
        <w:t>• </w:t>
      </w:r>
      <w:r>
        <w:rPr/>
        <w:t xml:space="preserve">符合GLP规范，支持数据存储（各1000套）、查阅、删除、统计、分析、传输和打印</w:t>
      </w:r>
    </w:p>
    <w:p>
      <w:pPr>
        <w:ind w:left="280" w:hanging="220"/>
      </w:pPr>
      <w:r>
        <w:t>• </w:t>
      </w:r>
      <w:r>
        <w:rPr/>
        <w:t xml:space="preserve">支持多种查阅方式，查阅结果以列表或曲线方式显示</w:t>
      </w:r>
    </w:p>
    <w:p>
      <w:pPr>
        <w:ind w:left="280" w:hanging="220"/>
      </w:pPr>
      <w:r>
        <w:t>• </w:t>
      </w:r>
      <w:r>
        <w:rPr/>
        <w:t xml:space="preserve">支持GMP 管理，支持GMP操作日志查阅，实现数据的完整溯源和追踪</w:t>
      </w:r>
    </w:p>
    <w:p>
      <w:pPr>
        <w:ind w:left="280" w:hanging="220"/>
      </w:pPr>
      <w:r>
        <w:t>• </w:t>
      </w:r>
      <w:r>
        <w:rPr/>
        <w:t xml:space="preserve">具有RS-232接口，支持连接标准RS-232串口打印机，直接打印测量结果，打印格式可选</w:t>
      </w:r>
    </w:p>
    <w:p>
      <w:pPr>
        <w:ind w:left="280" w:hanging="220"/>
      </w:pPr>
      <w:r>
        <w:t>• </w:t>
      </w:r>
      <w:r>
        <w:rPr/>
        <w:t xml:space="preserve">具有 USB 接口，通过专用通信软件与PC连接，实现数据传输，支持连接LIMS系统</w:t>
      </w:r>
    </w:p>
    <w:p>
      <w:pPr>
        <w:ind w:left="280" w:hanging="220"/>
      </w:pPr>
      <w:r>
        <w:t>• </w:t>
      </w:r>
      <w:r>
        <w:rPr/>
        <w:t xml:space="preserve">支持U盘导出和导入测量方法</w:t>
      </w:r>
    </w:p>
    <w:p>
      <w:pPr>
        <w:ind w:left="280" w:hanging="220"/>
      </w:pPr>
      <w:r>
        <w:t>• </w:t>
      </w:r>
      <w:r>
        <w:rPr/>
        <w:t xml:space="preserve">支持U盘导出数据，支持txt格式</w:t>
      </w:r>
    </w:p>
    <w:p>
      <w:pPr>
        <w:ind w:left="280" w:hanging="220"/>
      </w:pPr>
      <w:r>
        <w:t>• </w:t>
      </w:r>
      <w:r>
        <w:rPr/>
        <w:t xml:space="preserve">支持连接扫描枪</w:t>
      </w:r>
    </w:p>
    <w:p>
      <w:r>
        <w:rPr>
          <w:b/>
        </w:rPr>
        <w:t xml:space="preserve">参考标准</w:t>
      </w:r>
    </w:p>
    <w:p>
      <w:pPr>
        <w:ind w:left="280" w:hanging="220"/>
      </w:pPr>
      <w:r>
        <w:t>• </w:t>
      </w:r>
      <w:r>
        <w:rPr/>
        <w:t xml:space="preserve">GB/T 11165-2005 实验室pH计</w:t>
      </w:r>
    </w:p>
    <w:p>
      <w:pPr>
        <w:ind w:left="280" w:hanging="220"/>
      </w:pPr>
      <w:r>
        <w:t>• </w:t>
      </w:r>
      <w:r>
        <w:rPr/>
        <w:t xml:space="preserve">JJG 119-2018 实验室pH（酸度）计</w:t>
      </w:r>
    </w:p>
    <w:p>
      <w:pPr>
        <w:ind w:left="280" w:hanging="220"/>
      </w:pPr>
      <w:r>
        <w:t>• </w:t>
      </w:r>
      <w:r>
        <w:rPr/>
        <w:t xml:space="preserve">HJ 1396-2024 水质 水温的测定 传感器法</w:t>
      </w:r>
    </w:p>
    <w:p>
      <w:pPr>
        <w:pStyle w:val="Heading2"/>
      </w:pPr>
      <w:r>
        <w:t xml:space="preserve">技术参数</w:t>
      </w:r>
    </w:p>
    <w:tbl>
      <w:tblPr>
        <w:tblW w:w="9860" w:type="dxa"/>
        <w:tblLayout w:type="fixed"/>
        <w:tblBorders>
          <w:top w:val="single" w:sz="4" w:color="D3D6D1"/>
          <w:left w:val="single" w:sz="4" w:color="D3D6D1"/>
          <w:bottom w:val="single" w:sz="4" w:color="D3D6D1"/>
          <w:right w:val="single" w:sz="4" w:color="D3D6D1"/>
          <w:insideH w:val="single" w:sz="4" w:color="D3D6D1"/>
          <w:insideV w:val="single" w:sz="4" w:color="D3D6D1"/>
        </w:tblBorders>
        <w:tblCellMar>
          <w:top w:w="100" w:type="dxa"/>
          <w:left w:w="110" w:type="dxa"/>
          <w:bottom w:w="100" w:type="dxa"/>
          <w:right w:w="110" w:type="dxa"/>
        </w:tblCellMar>
      </w:tblPr>
      <w:tblGrid>
        <w:gridCol w:w="3286"/>
        <w:gridCol w:w="3286"/>
        <w:gridCol w:w="3286"/>
      </w:tblGrid>
      <w:tr>
        <w:trPr>
          <w:tblHeader/>
        </w:trPr>
        <w:tc>
          <w:tcPr>
            <w:tcW w:w="6572" w:type="dxa"/>
            <w:gridSpan w:val="2"/>
            <w:shd w:fill="EEEFEA"/>
            <w:vAlign w:val="center"/>
          </w:tcPr>
          <w:p>
            <w:r>
              <w:rPr>
                <w:b/>
              </w:rPr>
              <w:t xml:space="preserve">型号</w:t>
            </w:r>
          </w:p>
          <w:p/>
        </w:tc>
        <w:tc>
          <w:tcPr>
            <w:tcW w:w="3286" w:type="dxa"/>
            <w:shd w:fill="EEEFEA"/>
            <w:vAlign w:val="center"/>
          </w:tcPr>
          <w:p>
            <w:r>
              <w:rPr>
                <w:b/>
              </w:rPr>
              <w:t xml:space="preserve">PHSJ-5T</w:t>
            </w:r>
          </w:p>
          <w:p/>
        </w:tc>
      </w:tr>
      <w:tr>
        <w:trPr/>
        <w:tc>
          <w:tcPr>
            <w:tcW w:w="6572" w:type="dxa"/>
            <w:gridSpan w:val="2"/>
            <w:vAlign w:val="center"/>
          </w:tcPr>
          <w:p>
            <w:r>
              <w:rPr/>
              <w:t xml:space="preserve">pH级别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0.001级</w:t>
            </w:r>
          </w:p>
          <w:p/>
        </w:tc>
      </w:tr>
      <w:tr>
        <w:trPr/>
        <w:tc>
          <w:tcPr>
            <w:tcW w:w="6572" w:type="dxa"/>
            <w:gridSpan w:val="2"/>
            <w:vAlign w:val="center"/>
          </w:tcPr>
          <w:p>
            <w:r>
              <w:rPr/>
              <w:t xml:space="preserve">测量参数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pH，ORP，mV，温度</w:t>
            </w:r>
          </w:p>
          <w:p/>
        </w:tc>
      </w:tr>
      <w:tr>
        <w:trPr/>
        <w:tc>
          <w:tcPr>
            <w:tcW w:w="3286" w:type="dxa"/>
            <w:vMerge w:val="restart"/>
            <w:vAlign w:val="center"/>
          </w:tcPr>
          <w:p>
            <w:r>
              <w:rPr/>
              <w:t xml:space="preserve">mV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范围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（-2000.00～2000.00）mV</w:t>
            </w:r>
          </w:p>
          <w:p/>
        </w:tc>
      </w:tr>
      <w:tr>
        <w:trPr/>
        <w:tc>
          <w:tcPr>
            <w:tcW w:w="3286" w:type="dxa"/>
            <w:vMerge w:val="continue"/>
            <w:vAlign w:val="center"/>
          </w:tcPr>
          <w:p/>
          <w:p/>
        </w:tc>
        <w:tc>
          <w:tcPr>
            <w:tcW w:w="3286" w:type="dxa"/>
            <w:vAlign w:val="center"/>
          </w:tcPr>
          <w:p>
            <w:r>
              <w:rPr/>
              <w:t xml:space="preserve">最小分辨率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0.01 mV</w:t>
            </w:r>
          </w:p>
          <w:p/>
        </w:tc>
      </w:tr>
      <w:tr>
        <w:trPr/>
        <w:tc>
          <w:tcPr>
            <w:tcW w:w="3286" w:type="dxa"/>
            <w:vMerge w:val="continue"/>
            <w:vAlign w:val="center"/>
          </w:tcPr>
          <w:p/>
          <w:p/>
        </w:tc>
        <w:tc>
          <w:tcPr>
            <w:tcW w:w="3286" w:type="dxa"/>
            <w:vAlign w:val="center"/>
          </w:tcPr>
          <w:p>
            <w:r>
              <w:rPr/>
              <w:t xml:space="preserve">电子单元示值误差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±0.03%或±0.1mV</w:t>
            </w:r>
          </w:p>
          <w:p/>
        </w:tc>
      </w:tr>
      <w:tr>
        <w:trPr/>
        <w:tc>
          <w:tcPr>
            <w:tcW w:w="3286" w:type="dxa"/>
            <w:vMerge w:val="restart"/>
            <w:vAlign w:val="center"/>
          </w:tcPr>
          <w:p>
            <w:r>
              <w:rPr/>
              <w:t xml:space="preserve">pH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范围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（-2.000～20.000）pH</w:t>
            </w:r>
          </w:p>
          <w:p/>
        </w:tc>
      </w:tr>
      <w:tr>
        <w:trPr/>
        <w:tc>
          <w:tcPr>
            <w:tcW w:w="3286" w:type="dxa"/>
            <w:vMerge w:val="continue"/>
            <w:vAlign w:val="center"/>
          </w:tcPr>
          <w:p/>
          <w:p/>
        </w:tc>
        <w:tc>
          <w:tcPr>
            <w:tcW w:w="3286" w:type="dxa"/>
            <w:vAlign w:val="center"/>
          </w:tcPr>
          <w:p>
            <w:r>
              <w:rPr/>
              <w:t xml:space="preserve">最小分辨率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0.001 pH</w:t>
            </w:r>
          </w:p>
          <w:p/>
        </w:tc>
      </w:tr>
      <w:tr>
        <w:trPr/>
        <w:tc>
          <w:tcPr>
            <w:tcW w:w="3286" w:type="dxa"/>
            <w:vMerge w:val="continue"/>
            <w:vAlign w:val="center"/>
          </w:tcPr>
          <w:p/>
          <w:p/>
        </w:tc>
        <w:tc>
          <w:tcPr>
            <w:tcW w:w="3286" w:type="dxa"/>
            <w:vAlign w:val="center"/>
          </w:tcPr>
          <w:p>
            <w:r>
              <w:rPr/>
              <w:t xml:space="preserve">电子单元示值误差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±0.002pH</w:t>
            </w:r>
          </w:p>
          <w:p/>
        </w:tc>
      </w:tr>
      <w:tr>
        <w:trPr/>
        <w:tc>
          <w:tcPr>
            <w:tcW w:w="3286" w:type="dxa"/>
            <w:vMerge w:val="restart"/>
            <w:vAlign w:val="center"/>
          </w:tcPr>
          <w:p>
            <w:r>
              <w:rPr/>
              <w:t xml:space="preserve">温度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范围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（-10.0～135.0）℃/（14.0~275.0）℉</w:t>
            </w:r>
          </w:p>
          <w:p/>
        </w:tc>
      </w:tr>
      <w:tr>
        <w:trPr/>
        <w:tc>
          <w:tcPr>
            <w:tcW w:w="3286" w:type="dxa"/>
            <w:vMerge w:val="continue"/>
            <w:vAlign w:val="center"/>
          </w:tcPr>
          <w:p/>
          <w:p/>
        </w:tc>
        <w:tc>
          <w:tcPr>
            <w:tcW w:w="3286" w:type="dxa"/>
            <w:vAlign w:val="center"/>
          </w:tcPr>
          <w:p>
            <w:r>
              <w:rPr/>
              <w:t xml:space="preserve">最小分辨率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0.1℃/0.1℉</w:t>
            </w:r>
          </w:p>
          <w:p/>
        </w:tc>
      </w:tr>
      <w:tr>
        <w:trPr/>
        <w:tc>
          <w:tcPr>
            <w:tcW w:w="3286" w:type="dxa"/>
            <w:vMerge w:val="continue"/>
            <w:vAlign w:val="center"/>
          </w:tcPr>
          <w:p/>
          <w:p/>
        </w:tc>
        <w:tc>
          <w:tcPr>
            <w:tcW w:w="3286" w:type="dxa"/>
            <w:vAlign w:val="center"/>
          </w:tcPr>
          <w:p>
            <w:r>
              <w:rPr/>
              <w:t xml:space="preserve">电子单元示值误差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±0.1℃</w:t>
            </w:r>
          </w:p>
          <w:p/>
        </w:tc>
      </w:tr>
      <w:tr>
        <w:trPr/>
        <w:tc>
          <w:tcPr>
            <w:tcW w:w="3286" w:type="dxa"/>
            <w:vMerge w:val="continue"/>
            <w:vAlign w:val="center"/>
          </w:tcPr>
          <w:p/>
          <w:p/>
        </w:tc>
        <w:tc>
          <w:tcPr>
            <w:tcW w:w="3286" w:type="dxa"/>
            <w:vAlign w:val="center"/>
          </w:tcPr>
          <w:p>
            <w:r>
              <w:rPr/>
              <w:t xml:space="preserve">仪器示值误差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±0.3℃（0.0℃~60.0℃），±1.0℃（其他范围）</w:t>
            </w:r>
          </w:p>
          <w:p/>
        </w:tc>
      </w:tr>
      <w:tr>
        <w:trPr/>
        <w:tc>
          <w:tcPr>
            <w:tcW w:w="6572" w:type="dxa"/>
            <w:gridSpan w:val="2"/>
            <w:vAlign w:val="center"/>
          </w:tcPr>
          <w:p>
            <w:r>
              <w:rPr/>
              <w:t xml:space="preserve">电源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电源适配器（输入：AC 100-240V，输出：DC 24V）</w:t>
            </w:r>
          </w:p>
          <w:p/>
        </w:tc>
      </w:tr>
      <w:tr>
        <w:trPr/>
        <w:tc>
          <w:tcPr>
            <w:tcW w:w="6572" w:type="dxa"/>
            <w:gridSpan w:val="2"/>
            <w:vAlign w:val="center"/>
          </w:tcPr>
          <w:p>
            <w:r>
              <w:rPr/>
              <w:t xml:space="preserve">尺寸，重量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220×195×68mm，约0.95kg</w:t>
            </w:r>
          </w:p>
          <w:p/>
        </w:tc>
      </w:tr>
    </w:tbl>
    <w:p/>
    <w:p>
      <w:pPr>
        <w:spacing w:before="240"/>
      </w:pPr>
      <w:r>
        <w:t>网站：</w:t>
      </w:r>
      <w:hyperlink r:id="website">
        <w:r>
          <w:rPr>
            <w:color w:val="215B92"/>
            <w:u w:val="single"/>
          </w:rPr>
          <w:t>https://www.shleici.cn/</w:t>
        </w:r>
      </w:hyperlink>
    </w:p>
    <w:sectPr>
      <w:pgSz w:w="11906" w:h="16838"/>
      <w:pgMar w:top="1020" w:right="1020" w:bottom="1020" w:left="102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icrosoft YaHei"/>
        <w:color w:val="292D30"/>
        <w:sz w:val="21"/>
        <w:lang w:val="zh-CN" w:eastAsia="zh-CN"/>
      </w:rPr>
    </w:rPrDefault>
    <w:pPrDefault>
      <w:pPr>
        <w:spacing w:after="100" w:line="30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keepNext/>
      <w:spacing w:after="200"/>
    </w:pPr>
    <w:rPr>
      <w:sz w:val="34"/>
      <w:color w:val="000000"/>
    </w:rPr>
  </w:style>
  <w:style w:type="paragraph" w:styleId="Subtitle">
    <w:name w:val="Subtitle"/>
    <w:rPr>
      <w:sz w:val="19"/>
      <w:color w:val="61666A"/>
    </w:rPr>
  </w:style>
  <w:style w:type="paragraph" w:styleId="Heading2">
    <w:name w:val="heading 2"/>
    <w:pPr>
      <w:keepNext/>
      <w:spacing w:before="260" w:after="140"/>
    </w:pPr>
    <w:rPr>
      <w:b/>
      <w:sz w:val="26"/>
    </w:rPr>
  </w:style>
</w:styles>
</file>

<file path=word/_rels/document.xml.rels><?xml version="1.0" encoding="UTF-8"?><Relationships xmlns="http://schemas.openxmlformats.org/package/2006/relationships"><Relationship Id="styles" Type="http://schemas.openxmlformats.org/officeDocument/2006/relationships/styles" Target="styles.xml"/><Relationship Id="image1" Type="http://schemas.openxmlformats.org/officeDocument/2006/relationships/image" Target="media/image1.jpg"/><Relationship Id="image2" Type="http://schemas.openxmlformats.org/officeDocument/2006/relationships/image" Target="media/image2.jpg"/><Relationship Id="website" Type="http://schemas.openxmlformats.org/officeDocument/2006/relationships/hyperlink" Target="https://www.shleici.cn/" TargetMode="External"/></Relationships>
</file>