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Id="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PHB-4型便携式pH计</w:t>
      </w:r>
    </w:p>
    <w:p>
      <w:pPr>
        <w:pStyle w:val="Heading2"/>
      </w:pPr>
      <w:r>
        <w:t xml:space="preserve">产品图片</w:t>
      </w:r>
    </w:p>
    <w:p>
      <w:pPr>
        <w:jc w:val="center"/>
      </w:pPr>
      <w:r>
        <w:drawing>
          <wp:inline distT="0" distB="0" distL="0" distR="0">
            <wp:extent cx="3869397" cy="2900000"/>
            <wp:docPr id="1" name="产品图片 1"/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image1"/>
                    <a:stretch>
                      <a:fillRect/>
                    </a:stretch>
                  </pic:blipFill>
                  <pic:spPr>
                    <a:xfrm>
                      <a:off x="0" y="0"/>
                      <a:ext cx="3869397" cy="29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 xml:space="preserve">产品描述</w:t>
      </w:r>
    </w:p>
    <w:p>
      <w:r>
        <w:rPr>
          <w:b/>
        </w:rPr>
        <w:t xml:space="preserve">主要特点</w:t>
      </w:r>
    </w:p>
    <w:p>
      <w:pPr>
        <w:ind w:left="280" w:hanging="220"/>
      </w:pPr>
      <w:r>
        <w:t>• </w:t>
      </w:r>
      <w:r>
        <w:rPr/>
        <w:t xml:space="preserve">3.5英寸高清液晶屏，按键操作</w:t>
      </w:r>
    </w:p>
    <w:p>
      <w:pPr>
        <w:ind w:left="280" w:hanging="220"/>
      </w:pPr>
      <w:r>
        <w:t>• </w:t>
      </w:r>
      <w:r>
        <w:rPr/>
        <w:t xml:space="preserve">支持开机自诊断、自动关机、断电保护和恢复出厂设置等功能</w:t>
      </w:r>
    </w:p>
    <w:p>
      <w:pPr>
        <w:ind w:left="280" w:hanging="220"/>
      </w:pPr>
      <w:r>
        <w:t>• </w:t>
      </w:r>
      <w:r>
        <w:rPr/>
        <w:t xml:space="preserve">支持固件升级功能</w:t>
      </w:r>
    </w:p>
    <w:p>
      <w:pPr>
        <w:ind w:left="280" w:hanging="220"/>
      </w:pPr>
      <w:r>
        <w:t>• </w:t>
      </w:r>
      <w:r>
        <w:rPr/>
        <w:t xml:space="preserve">支持IP65防护等级</w:t>
      </w:r>
    </w:p>
    <w:p>
      <w:pPr>
        <w:ind w:left="280" w:hanging="220"/>
      </w:pPr>
      <w:r>
        <w:t>• </w:t>
      </w:r>
      <w:r>
        <w:rPr/>
        <w:t xml:space="preserve">标配复合pH电极、电极挂架、硅胶保护套、腕带和校准缓冲粉剂</w:t>
      </w:r>
    </w:p>
    <w:p>
      <w:r>
        <w:rPr>
          <w:b/>
        </w:rPr>
        <w:t xml:space="preserve">自动识别</w:t>
      </w:r>
    </w:p>
    <w:p>
      <w:pPr>
        <w:ind w:left="280" w:hanging="220"/>
      </w:pPr>
      <w:r>
        <w:t>• </w:t>
      </w:r>
      <w:r>
        <w:rPr/>
        <w:t xml:space="preserve">具有读数稳定标志，智能提醒</w:t>
      </w:r>
    </w:p>
    <w:p>
      <w:pPr>
        <w:ind w:left="280" w:hanging="220"/>
      </w:pPr>
      <w:r>
        <w:t>• </w:t>
      </w:r>
      <w:r>
        <w:rPr/>
        <w:t xml:space="preserve">自动识别GB 1.68pH、4.00pH、6.86pH、9.18pH、12.46pH五种pH标准缓冲溶液，支持自定义pH缓冲溶液</w:t>
      </w:r>
    </w:p>
    <w:p>
      <w:pPr>
        <w:ind w:left="280" w:hanging="220"/>
      </w:pPr>
      <w:r>
        <w:t>• </w:t>
      </w:r>
      <w:r>
        <w:rPr/>
        <w:t xml:space="preserve">支持1~2点pH电极标定</w:t>
      </w:r>
    </w:p>
    <w:p>
      <w:pPr>
        <w:ind w:left="280" w:hanging="220"/>
      </w:pPr>
      <w:r>
        <w:t>• </w:t>
      </w:r>
      <w:r>
        <w:rPr/>
        <w:t xml:space="preserve">支持手动温度补偿</w:t>
      </w:r>
    </w:p>
    <w:p>
      <w:r>
        <w:rPr>
          <w:b/>
        </w:rPr>
        <w:t xml:space="preserve">电源管理</w:t>
      </w:r>
    </w:p>
    <w:p>
      <w:pPr>
        <w:ind w:left="280" w:hanging="220"/>
      </w:pPr>
      <w:r>
        <w:t>• </w:t>
      </w:r>
      <w:r>
        <w:rPr/>
        <w:t xml:space="preserve">大容量锂电池供电，待机约20h</w:t>
      </w:r>
    </w:p>
    <w:p>
      <w:pPr>
        <w:ind w:left="280" w:hanging="220"/>
      </w:pPr>
      <w:r>
        <w:t>• </w:t>
      </w:r>
      <w:r>
        <w:rPr/>
        <w:t xml:space="preserve">支持连接PC和移动电源充电</w:t>
      </w:r>
    </w:p>
    <w:p>
      <w:pPr>
        <w:ind w:left="280" w:hanging="220"/>
      </w:pPr>
      <w:r>
        <w:t>• </w:t>
      </w:r>
      <w:r>
        <w:rPr/>
        <w:t xml:space="preserve">具有电池电量提示功能和充电状态提醒功能</w:t>
      </w:r>
    </w:p>
    <w:p>
      <w:pPr>
        <w:ind w:left="280" w:hanging="220"/>
      </w:pPr>
      <w:r>
        <w:t>• </w:t>
      </w:r>
      <w:r>
        <w:rPr/>
        <w:t xml:space="preserve">支持背光调节</w:t>
      </w:r>
    </w:p>
    <w:p>
      <w:r>
        <w:rPr>
          <w:b/>
        </w:rPr>
        <w:t xml:space="preserve">参考标准</w:t>
      </w:r>
    </w:p>
    <w:p>
      <w:pPr>
        <w:ind w:left="280" w:hanging="220"/>
      </w:pPr>
      <w:r>
        <w:t>• </w:t>
      </w:r>
      <w:r>
        <w:rPr/>
        <w:t xml:space="preserve">GB/T 11165-2005 实验室pH计</w:t>
      </w:r>
    </w:p>
    <w:p>
      <w:pPr>
        <w:ind w:left="280" w:hanging="220"/>
      </w:pPr>
      <w:r>
        <w:t>• </w:t>
      </w:r>
      <w:r>
        <w:rPr/>
        <w:t xml:space="preserve">JJG 119-2018 实验室pH（酸度）计</w:t>
      </w:r>
    </w:p>
    <w:p>
      <w:pPr>
        <w:pStyle w:val="Heading2"/>
      </w:pPr>
      <w:r>
        <w:t xml:space="preserve">技术参数</w:t>
      </w:r>
    </w:p>
    <w:tbl>
      <w:tblPr>
        <w:tblW w:w="9860" w:type="dxa"/>
        <w:tblLayout w:type="fixed"/>
        <w:tblBorders>
          <w:top w:val="single" w:sz="4" w:color="D3D6D1"/>
          <w:left w:val="single" w:sz="4" w:color="D3D6D1"/>
          <w:bottom w:val="single" w:sz="4" w:color="D3D6D1"/>
          <w:right w:val="single" w:sz="4" w:color="D3D6D1"/>
          <w:insideH w:val="single" w:sz="4" w:color="D3D6D1"/>
          <w:insideV w:val="single" w:sz="4" w:color="D3D6D1"/>
        </w:tblBorders>
        <w:tblCellMar>
          <w:top w:w="100" w:type="dxa"/>
          <w:left w:w="110" w:type="dxa"/>
          <w:bottom w:w="100" w:type="dxa"/>
          <w:right w:w="110" w:type="dxa"/>
        </w:tblCellMar>
      </w:tblPr>
      <w:tblGrid>
        <w:gridCol w:w="3286"/>
        <w:gridCol w:w="3286"/>
        <w:gridCol w:w="3286"/>
      </w:tblGrid>
      <w:tr>
        <w:trPr>
          <w:tblHeader/>
        </w:trPr>
        <w:tc>
          <w:tcPr>
            <w:tcW w:w="6572" w:type="dxa"/>
            <w:gridSpan w:val="2"/>
            <w:shd w:fill="EEEFEA"/>
            <w:vAlign w:val="center"/>
          </w:tcPr>
          <w:p>
            <w:r>
              <w:rPr>
                <w:b/>
              </w:rPr>
              <w:t xml:space="preserve">型号</w:t>
            </w:r>
          </w:p>
          <w:p/>
        </w:tc>
        <w:tc>
          <w:tcPr>
            <w:tcW w:w="3286" w:type="dxa"/>
            <w:shd w:fill="EEEFEA"/>
            <w:vAlign w:val="center"/>
          </w:tcPr>
          <w:p>
            <w:r>
              <w:rPr>
                <w:b/>
              </w:rPr>
              <w:t xml:space="preserve">PHB-4</w:t>
            </w:r>
          </w:p>
          <w:p/>
        </w:tc>
      </w:tr>
      <w:tr>
        <w:trPr/>
        <w:tc>
          <w:tcPr>
            <w:tcW w:w="6572" w:type="dxa"/>
            <w:gridSpan w:val="2"/>
            <w:vAlign w:val="center"/>
          </w:tcPr>
          <w:p>
            <w:r>
              <w:rPr/>
              <w:t xml:space="preserve">pH级别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0.1级</w:t>
            </w:r>
          </w:p>
          <w:p/>
        </w:tc>
      </w:tr>
      <w:tr>
        <w:trPr/>
        <w:tc>
          <w:tcPr>
            <w:tcW w:w="6572" w:type="dxa"/>
            <w:gridSpan w:val="2"/>
            <w:vAlign w:val="center"/>
          </w:tcPr>
          <w:p>
            <w:r>
              <w:rPr/>
              <w:t xml:space="preserve">测量参数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pH，mV</w:t>
            </w:r>
          </w:p>
          <w:p/>
        </w:tc>
      </w:tr>
      <w:tr>
        <w:trPr/>
        <w:tc>
          <w:tcPr>
            <w:tcW w:w="3286" w:type="dxa"/>
            <w:vMerge w:val="restart"/>
            <w:vAlign w:val="center"/>
          </w:tcPr>
          <w:p>
            <w:r>
              <w:rPr/>
              <w:t xml:space="preserve">mV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范围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（-1400～1400）mV</w:t>
            </w:r>
          </w:p>
          <w:p/>
        </w:tc>
      </w:tr>
      <w:tr>
        <w:trPr/>
        <w:tc>
          <w:tcPr>
            <w:tcW w:w="3286" w:type="dxa"/>
            <w:vMerge w:val="continue"/>
            <w:vAlign w:val="center"/>
          </w:tcPr>
          <w:p/>
          <w:p/>
        </w:tc>
        <w:tc>
          <w:tcPr>
            <w:tcW w:w="3286" w:type="dxa"/>
            <w:vAlign w:val="center"/>
          </w:tcPr>
          <w:p>
            <w:r>
              <w:rPr/>
              <w:t xml:space="preserve">最小分辨率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1mV</w:t>
            </w:r>
          </w:p>
          <w:p/>
        </w:tc>
      </w:tr>
      <w:tr>
        <w:trPr/>
        <w:tc>
          <w:tcPr>
            <w:tcW w:w="3286" w:type="dxa"/>
            <w:vMerge w:val="continue"/>
            <w:vAlign w:val="center"/>
          </w:tcPr>
          <w:p/>
          <w:p/>
        </w:tc>
        <w:tc>
          <w:tcPr>
            <w:tcW w:w="3286" w:type="dxa"/>
            <w:vAlign w:val="center"/>
          </w:tcPr>
          <w:p>
            <w:r>
              <w:rPr/>
              <w:t xml:space="preserve">电子单元示值误差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±0.2%FS</w:t>
            </w:r>
          </w:p>
          <w:p/>
        </w:tc>
      </w:tr>
      <w:tr>
        <w:trPr/>
        <w:tc>
          <w:tcPr>
            <w:tcW w:w="3286" w:type="dxa"/>
            <w:vMerge w:val="restart"/>
            <w:vAlign w:val="center"/>
          </w:tcPr>
          <w:p>
            <w:r>
              <w:rPr/>
              <w:t xml:space="preserve">pH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范围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（0.00～14.00）pH</w:t>
            </w:r>
          </w:p>
          <w:p/>
        </w:tc>
      </w:tr>
      <w:tr>
        <w:trPr/>
        <w:tc>
          <w:tcPr>
            <w:tcW w:w="3286" w:type="dxa"/>
            <w:vMerge w:val="continue"/>
            <w:vAlign w:val="center"/>
          </w:tcPr>
          <w:p/>
          <w:p/>
        </w:tc>
        <w:tc>
          <w:tcPr>
            <w:tcW w:w="3286" w:type="dxa"/>
            <w:vAlign w:val="center"/>
          </w:tcPr>
          <w:p>
            <w:r>
              <w:rPr/>
              <w:t xml:space="preserve">最小分辨率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0.01pH</w:t>
            </w:r>
          </w:p>
          <w:p/>
        </w:tc>
      </w:tr>
      <w:tr>
        <w:trPr/>
        <w:tc>
          <w:tcPr>
            <w:tcW w:w="3286" w:type="dxa"/>
            <w:vMerge w:val="continue"/>
            <w:vAlign w:val="center"/>
          </w:tcPr>
          <w:p/>
          <w:p/>
        </w:tc>
        <w:tc>
          <w:tcPr>
            <w:tcW w:w="3286" w:type="dxa"/>
            <w:vAlign w:val="center"/>
          </w:tcPr>
          <w:p>
            <w:r>
              <w:rPr/>
              <w:t xml:space="preserve">电子单元示值误差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±0.03pH</w:t>
            </w:r>
          </w:p>
          <w:p/>
        </w:tc>
      </w:tr>
      <w:tr>
        <w:trPr/>
        <w:tc>
          <w:tcPr>
            <w:tcW w:w="6572" w:type="dxa"/>
            <w:gridSpan w:val="2"/>
            <w:vAlign w:val="center"/>
          </w:tcPr>
          <w:p>
            <w:r>
              <w:rPr/>
              <w:t xml:space="preserve">电源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可充锂电池，电源适配器（输入：AC 100-240V，输出：DC 5V）</w:t>
            </w:r>
          </w:p>
          <w:p/>
        </w:tc>
      </w:tr>
      <w:tr>
        <w:trPr/>
        <w:tc>
          <w:tcPr>
            <w:tcW w:w="6572" w:type="dxa"/>
            <w:gridSpan w:val="2"/>
            <w:vAlign w:val="center"/>
          </w:tcPr>
          <w:p>
            <w:r>
              <w:rPr/>
              <w:t xml:space="preserve">尺寸，重量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80×225×35mm，约0.4kg</w:t>
            </w:r>
          </w:p>
          <w:p/>
        </w:tc>
      </w:tr>
    </w:tbl>
    <w:p/>
    <w:p>
      <w:pPr>
        <w:spacing w:before="240"/>
      </w:pPr>
      <w:r>
        <w:t>网站：</w:t>
      </w:r>
      <w:hyperlink r:id="website">
        <w:r>
          <w:rPr>
            <w:color w:val="215B92"/>
            <w:u w:val="single"/>
          </w:rPr>
          <w:t>https://www.shleici.cn/</w:t>
        </w:r>
      </w:hyperlink>
    </w:p>
    <w:sectPr>
      <w:pgSz w:w="11906" w:h="16838"/>
      <w:pgMar w:top="1020" w:right="1020" w:bottom="1020" w:left="102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icrosoft YaHei"/>
        <w:color w:val="292D30"/>
        <w:sz w:val="21"/>
        <w:lang w:val="zh-CN" w:eastAsia="zh-CN"/>
      </w:rPr>
    </w:rPrDefault>
    <w:pPrDefault>
      <w:pPr>
        <w:spacing w:after="100" w:line="30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keepNext/>
      <w:spacing w:after="200"/>
    </w:pPr>
    <w:rPr>
      <w:sz w:val="34"/>
      <w:color w:val="000000"/>
    </w:rPr>
  </w:style>
  <w:style w:type="paragraph" w:styleId="Subtitle">
    <w:name w:val="Subtitle"/>
    <w:rPr>
      <w:sz w:val="19"/>
      <w:color w:val="61666A"/>
    </w:rPr>
  </w:style>
  <w:style w:type="paragraph" w:styleId="Heading2">
    <w:name w:val="heading 2"/>
    <w:pPr>
      <w:keepNext/>
      <w:spacing w:before="260" w:after="140"/>
    </w:pPr>
    <w:rPr>
      <w:b/>
      <w:sz w:val="26"/>
    </w:rPr>
  </w:style>
</w:styles>
</file>

<file path=word/_rels/document.xml.rels><?xml version="1.0" encoding="UTF-8"?><Relationships xmlns="http://schemas.openxmlformats.org/package/2006/relationships"><Relationship Id="styles" Type="http://schemas.openxmlformats.org/officeDocument/2006/relationships/styles" Target="styles.xml"/><Relationship Id="image1" Type="http://schemas.openxmlformats.org/officeDocument/2006/relationships/image" Target="media/image1.jpg"/><Relationship Id="website" Type="http://schemas.openxmlformats.org/officeDocument/2006/relationships/hyperlink" Target="https://www.shleici.cn/" TargetMode="External"/></Relationships>
</file>