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Id="document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COD-571型化学需氧量（COD）测定仪</w:t>
      </w:r>
    </w:p>
    <w:p>
      <w:pPr>
        <w:pStyle w:val="Heading2"/>
      </w:pPr>
      <w:r>
        <w:t xml:space="preserve">产品图片</w:t>
      </w:r>
    </w:p>
    <w:p>
      <w:pPr>
        <w:jc w:val="center"/>
      </w:pPr>
      <w:r>
        <w:drawing>
          <wp:inline distT="0" distB="0" distL="0" distR="0">
            <wp:extent cx="3869397" cy="2900000"/>
            <wp:docPr id="1" name="产品图片 1"/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image1"/>
                    <a:stretch>
                      <a:fillRect/>
                    </a:stretch>
                  </pic:blipFill>
                  <pic:spPr>
                    <a:xfrm>
                      <a:off x="0" y="0"/>
                      <a:ext cx="3869397" cy="29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2"/>
      </w:pPr>
      <w:r>
        <w:t xml:space="preserve">产品描述</w:t>
      </w:r>
    </w:p>
    <w:p>
      <w:r>
        <w:rPr>
          <w:b/>
        </w:rPr>
        <w:t xml:space="preserve">主要特点</w:t>
      </w:r>
    </w:p>
    <w:p>
      <w:pPr>
        <w:ind w:left="280" w:hanging="220"/>
      </w:pPr>
      <w:r>
        <w:t>• </w:t>
      </w:r>
      <w:r>
        <w:rPr/>
        <w:t xml:space="preserve">5.7英寸彩色液晶屏，按键操作</w:t>
      </w:r>
    </w:p>
    <w:p>
      <w:pPr>
        <w:ind w:left="280" w:hanging="220"/>
      </w:pPr>
      <w:r>
        <w:t>• </w:t>
      </w:r>
      <w:r>
        <w:rPr/>
        <w:t xml:space="preserve">采用420nm、620nm两个LED光源，寿命长，精度高</w:t>
      </w:r>
    </w:p>
    <w:p>
      <w:pPr>
        <w:ind w:left="280" w:hanging="220"/>
      </w:pPr>
      <w:r>
        <w:t>• </w:t>
      </w:r>
      <w:r>
        <w:rPr/>
        <w:t xml:space="preserve">内置测量方法：高浓度COD、低浓度COD</w:t>
      </w:r>
    </w:p>
    <w:p>
      <w:pPr>
        <w:ind w:left="280" w:hanging="220"/>
      </w:pPr>
      <w:r>
        <w:t>• </w:t>
      </w:r>
      <w:r>
        <w:rPr/>
        <w:t xml:space="preserve">智能判别终点，支持支持自动读数，连续读数</w:t>
      </w:r>
    </w:p>
    <w:p>
      <w:pPr>
        <w:ind w:left="280" w:hanging="220"/>
      </w:pPr>
      <w:r>
        <w:t>• </w:t>
      </w:r>
      <w:r>
        <w:rPr/>
        <w:t xml:space="preserve">设定稀释比，自动计算样品原始浓度</w:t>
      </w:r>
    </w:p>
    <w:p>
      <w:pPr>
        <w:ind w:left="280" w:hanging="220"/>
      </w:pPr>
      <w:r>
        <w:t>• </w:t>
      </w:r>
      <w:r>
        <w:rPr/>
        <w:t xml:space="preserve">可选内置校准曲线或自定义校准曲线</w:t>
      </w:r>
    </w:p>
    <w:p>
      <w:pPr>
        <w:ind w:left="280" w:hanging="220"/>
      </w:pPr>
      <w:r>
        <w:t>• </w:t>
      </w:r>
      <w:r>
        <w:rPr/>
        <w:t xml:space="preserve">高COD支持1~5点标定，低COD支持2~5点标定</w:t>
      </w:r>
    </w:p>
    <w:p>
      <w:pPr>
        <w:ind w:left="280" w:hanging="220"/>
      </w:pPr>
      <w:r>
        <w:t>• </w:t>
      </w:r>
      <w:r>
        <w:rPr/>
        <w:t xml:space="preserve">支持某个标定点重新标定</w:t>
      </w:r>
    </w:p>
    <w:p>
      <w:pPr>
        <w:ind w:left="280" w:hanging="220"/>
      </w:pPr>
      <w:r>
        <w:t>• </w:t>
      </w:r>
      <w:r>
        <w:rPr/>
        <w:t xml:space="preserve">符合GLP，支持数据存储（共2000组）、查阅、删除、传输和打印</w:t>
      </w:r>
    </w:p>
    <w:p>
      <w:pPr>
        <w:ind w:left="280" w:hanging="220"/>
      </w:pPr>
      <w:r>
        <w:t>• </w:t>
      </w:r>
      <w:r>
        <w:rPr/>
        <w:t xml:space="preserve">内置热敏打印机，可自动打印，打印格式可选</w:t>
      </w:r>
    </w:p>
    <w:p>
      <w:pPr>
        <w:ind w:left="280" w:hanging="220"/>
      </w:pPr>
      <w:r>
        <w:t>• </w:t>
      </w:r>
      <w:r>
        <w:rPr/>
        <w:t xml:space="preserve">支持U盘数据导出</w:t>
      </w:r>
    </w:p>
    <w:p>
      <w:pPr>
        <w:ind w:left="280" w:hanging="220"/>
      </w:pPr>
      <w:r>
        <w:t>• </w:t>
      </w:r>
      <w:r>
        <w:rPr/>
        <w:t xml:space="preserve">具有RS-232，USB接口，通过专用通信软件与PC连接，实现数据传输</w:t>
      </w:r>
    </w:p>
    <w:p>
      <w:pPr>
        <w:ind w:left="280" w:hanging="220"/>
      </w:pPr>
      <w:r>
        <w:t>• </w:t>
      </w:r>
      <w:r>
        <w:rPr/>
        <w:t xml:space="preserve">支持断电保护和恢复出厂设置等功能</w:t>
      </w:r>
    </w:p>
    <w:p>
      <w:r>
        <w:rPr>
          <w:b/>
        </w:rPr>
        <w:t xml:space="preserve">参考标准</w:t>
      </w:r>
    </w:p>
    <w:p>
      <w:pPr>
        <w:ind w:left="280" w:hanging="220"/>
      </w:pPr>
      <w:r>
        <w:t>• </w:t>
      </w:r>
      <w:r>
        <w:rPr/>
        <w:t xml:space="preserve">HJ/T 399-2007 水质 化学需氧量的测定 快速消解分光光度法</w:t>
      </w:r>
    </w:p>
    <w:p>
      <w:pPr>
        <w:ind w:left="280" w:hanging="220"/>
      </w:pPr>
      <w:r>
        <w:t>• </w:t>
      </w:r>
      <w:r>
        <w:rPr/>
        <w:t xml:space="preserve">HJ 924-2017 COD 光度法快速测定仪技术要求及检测方法</w:t>
      </w:r>
    </w:p>
    <w:p>
      <w:pPr>
        <w:pStyle w:val="Heading2"/>
      </w:pPr>
      <w:r>
        <w:t xml:space="preserve">技术参数</w:t>
      </w:r>
    </w:p>
    <w:tbl>
      <w:tblPr>
        <w:tblW w:w="9860" w:type="dxa"/>
        <w:tblLayout w:type="fixed"/>
        <w:tblBorders>
          <w:top w:val="single" w:sz="4" w:color="D3D6D1"/>
          <w:left w:val="single" w:sz="4" w:color="D3D6D1"/>
          <w:bottom w:val="single" w:sz="4" w:color="D3D6D1"/>
          <w:right w:val="single" w:sz="4" w:color="D3D6D1"/>
          <w:insideH w:val="single" w:sz="4" w:color="D3D6D1"/>
          <w:insideV w:val="single" w:sz="4" w:color="D3D6D1"/>
        </w:tblBorders>
        <w:tblCellMar>
          <w:top w:w="100" w:type="dxa"/>
          <w:left w:w="110" w:type="dxa"/>
          <w:bottom w:w="100" w:type="dxa"/>
          <w:right w:w="110" w:type="dxa"/>
        </w:tblCellMar>
      </w:tblPr>
      <w:tblGrid>
        <w:gridCol w:w="3286"/>
        <w:gridCol w:w="3286"/>
        <w:gridCol w:w="3286"/>
      </w:tblGrid>
      <w:tr>
        <w:trPr>
          <w:tblHeader/>
        </w:trPr>
        <w:tc>
          <w:tcPr>
            <w:tcW w:w="6572" w:type="dxa"/>
            <w:gridSpan w:val="2"/>
            <w:shd w:fill="EEEFEA"/>
            <w:vAlign w:val="center"/>
          </w:tcPr>
          <w:p>
            <w:r>
              <w:rPr>
                <w:b/>
              </w:rPr>
              <w:t xml:space="preserve">型号</w:t>
            </w:r>
          </w:p>
          <w:p/>
        </w:tc>
        <w:tc>
          <w:tcPr>
            <w:tcW w:w="3286" w:type="dxa"/>
            <w:shd w:fill="EEEFEA"/>
            <w:vAlign w:val="center"/>
          </w:tcPr>
          <w:p>
            <w:r>
              <w:rPr>
                <w:b/>
              </w:rPr>
              <w:t xml:space="preserve">COD-571</w:t>
            </w:r>
          </w:p>
          <w:p/>
        </w:tc>
      </w:tr>
      <w:tr>
        <w:trPr/>
        <w:tc>
          <w:tcPr>
            <w:tcW w:w="6572" w:type="dxa"/>
            <w:gridSpan w:val="2"/>
            <w:vAlign w:val="center"/>
          </w:tcPr>
          <w:p>
            <w:r>
              <w:rPr/>
              <w:t xml:space="preserve">检测项目</w:t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低浓度COD，高浓度COD</w:t>
            </w:r>
          </w:p>
          <w:p/>
        </w:tc>
      </w:tr>
      <w:tr>
        <w:trPr/>
        <w:tc>
          <w:tcPr>
            <w:tcW w:w="3286" w:type="dxa"/>
            <w:vMerge w:val="restart"/>
            <w:vAlign w:val="center"/>
          </w:tcPr>
          <w:p>
            <w:r>
              <w:rPr/>
              <w:t xml:space="preserve">低浓度COD</w:t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测量方法</w:t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重铬酸钾法</w:t>
            </w:r>
          </w:p>
          <w:p/>
        </w:tc>
      </w:tr>
      <w:tr>
        <w:trPr/>
        <w:tc>
          <w:tcPr>
            <w:tcW w:w="3286" w:type="dxa"/>
            <w:vMerge w:val="continue"/>
            <w:vAlign w:val="center"/>
          </w:tcPr>
          <w:p/>
          <w:p/>
        </w:tc>
        <w:tc>
          <w:tcPr>
            <w:tcW w:w="3286" w:type="dxa"/>
            <w:vAlign w:val="center"/>
          </w:tcPr>
          <w:p>
            <w:r>
              <w:rPr/>
              <w:t xml:space="preserve">测量范围</w:t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（0.000~150.0）mg/L</w:t>
            </w:r>
          </w:p>
          <w:p/>
        </w:tc>
      </w:tr>
      <w:tr>
        <w:trPr/>
        <w:tc>
          <w:tcPr>
            <w:tcW w:w="3286" w:type="dxa"/>
            <w:vMerge w:val="continue"/>
            <w:vAlign w:val="center"/>
          </w:tcPr>
          <w:p/>
          <w:p/>
        </w:tc>
        <w:tc>
          <w:tcPr>
            <w:tcW w:w="3286" w:type="dxa"/>
            <w:vAlign w:val="center"/>
          </w:tcPr>
          <w:p>
            <w:r>
              <w:rPr/>
              <w:t xml:space="preserve">误差</w:t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±8％</w:t>
            </w:r>
          </w:p>
          <w:p/>
        </w:tc>
      </w:tr>
      <w:tr>
        <w:trPr/>
        <w:tc>
          <w:tcPr>
            <w:tcW w:w="3286" w:type="dxa"/>
            <w:vMerge w:val="continue"/>
            <w:vAlign w:val="center"/>
          </w:tcPr>
          <w:p/>
          <w:p/>
        </w:tc>
        <w:tc>
          <w:tcPr>
            <w:tcW w:w="3286" w:type="dxa"/>
            <w:vAlign w:val="center"/>
          </w:tcPr>
          <w:p>
            <w:r>
              <w:rPr/>
              <w:t xml:space="preserve">重复性</w:t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≤3%</w:t>
            </w:r>
          </w:p>
          <w:p/>
        </w:tc>
      </w:tr>
      <w:tr>
        <w:trPr/>
        <w:tc>
          <w:tcPr>
            <w:tcW w:w="3286" w:type="dxa"/>
            <w:vMerge w:val="continue"/>
            <w:vAlign w:val="center"/>
          </w:tcPr>
          <w:p/>
          <w:p/>
        </w:tc>
        <w:tc>
          <w:tcPr>
            <w:tcW w:w="3286" w:type="dxa"/>
            <w:vAlign w:val="center"/>
          </w:tcPr>
          <w:p>
            <w:r>
              <w:rPr/>
              <w:t xml:space="preserve">稳定性</w:t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&lt;6mg/L（20min）</w:t>
            </w:r>
          </w:p>
          <w:p/>
        </w:tc>
      </w:tr>
      <w:tr>
        <w:trPr/>
        <w:tc>
          <w:tcPr>
            <w:tcW w:w="3286" w:type="dxa"/>
            <w:vMerge w:val="continue"/>
            <w:vAlign w:val="center"/>
          </w:tcPr>
          <w:p/>
          <w:p/>
        </w:tc>
        <w:tc>
          <w:tcPr>
            <w:tcW w:w="3286" w:type="dxa"/>
            <w:vAlign w:val="center"/>
          </w:tcPr>
          <w:p>
            <w:r>
              <w:rPr/>
              <w:t xml:space="preserve">波长</w:t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420nm</w:t>
            </w:r>
          </w:p>
          <w:p/>
        </w:tc>
      </w:tr>
      <w:tr>
        <w:trPr/>
        <w:tc>
          <w:tcPr>
            <w:tcW w:w="3286" w:type="dxa"/>
            <w:vMerge w:val="continue"/>
            <w:vAlign w:val="center"/>
          </w:tcPr>
          <w:p/>
          <w:p/>
        </w:tc>
        <w:tc>
          <w:tcPr>
            <w:tcW w:w="3286" w:type="dxa"/>
            <w:vAlign w:val="center"/>
          </w:tcPr>
          <w:p>
            <w:r>
              <w:rPr/>
              <w:t xml:space="preserve">是否消解</w:t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需消解</w:t>
            </w:r>
          </w:p>
          <w:p/>
        </w:tc>
      </w:tr>
      <w:tr>
        <w:trPr/>
        <w:tc>
          <w:tcPr>
            <w:tcW w:w="3286" w:type="dxa"/>
            <w:vMerge w:val="restart"/>
            <w:vAlign w:val="center"/>
          </w:tcPr>
          <w:p>
            <w:r>
              <w:rPr/>
              <w:t xml:space="preserve">高浓度COD</w:t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测量方法</w:t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重铬酸钾法</w:t>
            </w:r>
          </w:p>
          <w:p/>
        </w:tc>
      </w:tr>
      <w:tr>
        <w:trPr/>
        <w:tc>
          <w:tcPr>
            <w:tcW w:w="3286" w:type="dxa"/>
            <w:vMerge w:val="continue"/>
            <w:vAlign w:val="center"/>
          </w:tcPr>
          <w:p/>
          <w:p/>
        </w:tc>
        <w:tc>
          <w:tcPr>
            <w:tcW w:w="3286" w:type="dxa"/>
            <w:vAlign w:val="center"/>
          </w:tcPr>
          <w:p>
            <w:r>
              <w:rPr/>
              <w:t xml:space="preserve">测量范围</w:t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（150.0~1500）mg/L，可拓展至15000mg/L</w:t>
            </w:r>
          </w:p>
          <w:p/>
        </w:tc>
      </w:tr>
      <w:tr>
        <w:trPr/>
        <w:tc>
          <w:tcPr>
            <w:tcW w:w="3286" w:type="dxa"/>
            <w:vMerge w:val="continue"/>
            <w:vAlign w:val="center"/>
          </w:tcPr>
          <w:p/>
          <w:p/>
        </w:tc>
        <w:tc>
          <w:tcPr>
            <w:tcW w:w="3286" w:type="dxa"/>
            <w:vAlign w:val="center"/>
          </w:tcPr>
          <w:p>
            <w:r>
              <w:rPr/>
              <w:t xml:space="preserve">误差</w:t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±8％</w:t>
            </w:r>
          </w:p>
          <w:p/>
        </w:tc>
      </w:tr>
      <w:tr>
        <w:trPr/>
        <w:tc>
          <w:tcPr>
            <w:tcW w:w="3286" w:type="dxa"/>
            <w:vMerge w:val="continue"/>
            <w:vAlign w:val="center"/>
          </w:tcPr>
          <w:p/>
          <w:p/>
        </w:tc>
        <w:tc>
          <w:tcPr>
            <w:tcW w:w="3286" w:type="dxa"/>
            <w:vAlign w:val="center"/>
          </w:tcPr>
          <w:p>
            <w:r>
              <w:rPr/>
              <w:t xml:space="preserve">重复性</w:t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≤3%</w:t>
            </w:r>
          </w:p>
          <w:p/>
        </w:tc>
      </w:tr>
      <w:tr>
        <w:trPr/>
        <w:tc>
          <w:tcPr>
            <w:tcW w:w="3286" w:type="dxa"/>
            <w:vMerge w:val="continue"/>
            <w:vAlign w:val="center"/>
          </w:tcPr>
          <w:p/>
          <w:p/>
        </w:tc>
        <w:tc>
          <w:tcPr>
            <w:tcW w:w="3286" w:type="dxa"/>
            <w:vAlign w:val="center"/>
          </w:tcPr>
          <w:p>
            <w:r>
              <w:rPr/>
              <w:t xml:space="preserve">稳定性</w:t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&lt;6mg/L（20min）</w:t>
            </w:r>
          </w:p>
          <w:p/>
        </w:tc>
      </w:tr>
      <w:tr>
        <w:trPr/>
        <w:tc>
          <w:tcPr>
            <w:tcW w:w="3286" w:type="dxa"/>
            <w:vMerge w:val="continue"/>
            <w:vAlign w:val="center"/>
          </w:tcPr>
          <w:p/>
          <w:p/>
        </w:tc>
        <w:tc>
          <w:tcPr>
            <w:tcW w:w="3286" w:type="dxa"/>
            <w:vAlign w:val="center"/>
          </w:tcPr>
          <w:p>
            <w:r>
              <w:rPr/>
              <w:t xml:space="preserve">波长</w:t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620nm</w:t>
            </w:r>
          </w:p>
          <w:p/>
        </w:tc>
      </w:tr>
      <w:tr>
        <w:trPr/>
        <w:tc>
          <w:tcPr>
            <w:tcW w:w="3286" w:type="dxa"/>
            <w:vMerge w:val="continue"/>
            <w:vAlign w:val="center"/>
          </w:tcPr>
          <w:p/>
          <w:p/>
        </w:tc>
        <w:tc>
          <w:tcPr>
            <w:tcW w:w="3286" w:type="dxa"/>
            <w:vAlign w:val="center"/>
          </w:tcPr>
          <w:p>
            <w:r>
              <w:rPr/>
              <w:t xml:space="preserve">需消解</w:t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需消解</w:t>
            </w:r>
          </w:p>
          <w:p/>
        </w:tc>
      </w:tr>
      <w:tr>
        <w:trPr/>
        <w:tc>
          <w:tcPr>
            <w:tcW w:w="3286" w:type="dxa"/>
            <w:vAlign w:val="center"/>
          </w:tcPr>
          <w:p>
            <w:r>
              <w:rPr/>
              <w:t xml:space="preserve">吸光度</w:t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测量范围</w:t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（0.000～2.000）Abs</w:t>
            </w:r>
          </w:p>
          <w:p/>
        </w:tc>
      </w:tr>
      <w:tr>
        <w:trPr/>
        <w:tc>
          <w:tcPr>
            <w:tcW w:w="3286" w:type="dxa"/>
            <w:vMerge w:val="restart"/>
            <w:vAlign w:val="center"/>
          </w:tcPr>
          <w:p>
            <w:r>
              <w:rPr/>
              <w:t xml:space="preserve">波长</w:t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测量波长</w:t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420nm，620nm</w:t>
            </w:r>
          </w:p>
          <w:p/>
        </w:tc>
      </w:tr>
      <w:tr>
        <w:trPr/>
        <w:tc>
          <w:tcPr>
            <w:tcW w:w="3286" w:type="dxa"/>
            <w:vMerge w:val="continue"/>
            <w:vAlign w:val="center"/>
          </w:tcPr>
          <w:p/>
          <w:p/>
        </w:tc>
        <w:tc>
          <w:tcPr>
            <w:tcW w:w="3286" w:type="dxa"/>
            <w:vAlign w:val="center"/>
          </w:tcPr>
          <w:p>
            <w:r>
              <w:rPr/>
              <w:t xml:space="preserve">准确度</w:t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±4nm</w:t>
            </w:r>
          </w:p>
          <w:p/>
        </w:tc>
      </w:tr>
      <w:tr>
        <w:trPr/>
        <w:tc>
          <w:tcPr>
            <w:tcW w:w="3286" w:type="dxa"/>
            <w:vMerge w:val="restart"/>
            <w:vAlign w:val="center"/>
          </w:tcPr>
          <w:p>
            <w:r>
              <w:rPr/>
              <w:t xml:space="preserve">透射比</w:t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示值误差</w:t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±2%</w:t>
            </w:r>
          </w:p>
          <w:p/>
        </w:tc>
      </w:tr>
      <w:tr>
        <w:trPr/>
        <w:tc>
          <w:tcPr>
            <w:tcW w:w="3286" w:type="dxa"/>
            <w:vMerge w:val="continue"/>
            <w:vAlign w:val="center"/>
          </w:tcPr>
          <w:p/>
          <w:p/>
        </w:tc>
        <w:tc>
          <w:tcPr>
            <w:tcW w:w="3286" w:type="dxa"/>
            <w:vAlign w:val="center"/>
          </w:tcPr>
          <w:p>
            <w:r>
              <w:rPr/>
              <w:t xml:space="preserve">重复性</w:t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≤0.5％</w:t>
            </w:r>
          </w:p>
          <w:p/>
        </w:tc>
      </w:tr>
      <w:tr>
        <w:trPr/>
        <w:tc>
          <w:tcPr>
            <w:tcW w:w="6572" w:type="dxa"/>
            <w:gridSpan w:val="2"/>
            <w:vAlign w:val="center"/>
          </w:tcPr>
          <w:p>
            <w:r>
              <w:rPr/>
              <w:t xml:space="preserve">测量池</w:t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10mm比色皿，16mm比色管</w:t>
            </w:r>
          </w:p>
          <w:p/>
        </w:tc>
      </w:tr>
      <w:tr>
        <w:trPr/>
        <w:tc>
          <w:tcPr>
            <w:tcW w:w="6572" w:type="dxa"/>
            <w:gridSpan w:val="2"/>
            <w:vAlign w:val="center"/>
          </w:tcPr>
          <w:p>
            <w:r>
              <w:rPr/>
              <w:t xml:space="preserve">电源</w:t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电源适配器（输入：AC 100-240V，输出：DC 20V）</w:t>
            </w:r>
          </w:p>
          <w:p/>
        </w:tc>
      </w:tr>
      <w:tr>
        <w:trPr/>
        <w:tc>
          <w:tcPr>
            <w:tcW w:w="6572" w:type="dxa"/>
            <w:gridSpan w:val="2"/>
            <w:vAlign w:val="center"/>
          </w:tcPr>
          <w:p>
            <w:r>
              <w:rPr/>
              <w:t xml:space="preserve">尺寸，重量</w:t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302×205×122mm，约1.33kg</w:t>
            </w:r>
          </w:p>
          <w:p/>
        </w:tc>
      </w:tr>
    </w:tbl>
    <w:p/>
    <w:p>
      <w:pPr>
        <w:spacing w:before="240"/>
      </w:pPr>
      <w:r>
        <w:t>网站：</w:t>
      </w:r>
      <w:hyperlink r:id="website">
        <w:r>
          <w:rPr>
            <w:color w:val="215B92"/>
            <w:u w:val="single"/>
          </w:rPr>
          <w:t>https://www.shleici.cn/</w:t>
        </w:r>
      </w:hyperlink>
    </w:p>
    <w:sectPr>
      <w:pgSz w:w="11906" w:h="16838"/>
      <w:pgMar w:top="1020" w:right="1020" w:bottom="1020" w:left="102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eastAsia="Microsoft YaHei"/>
        <w:color w:val="292D30"/>
        <w:sz w:val="21"/>
        <w:lang w:val="zh-CN" w:eastAsia="zh-CN"/>
      </w:rPr>
    </w:rPrDefault>
    <w:pPrDefault>
      <w:pPr>
        <w:spacing w:after="100" w:line="300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keepNext/>
      <w:spacing w:after="200"/>
    </w:pPr>
    <w:rPr>
      <w:sz w:val="34"/>
      <w:color w:val="000000"/>
    </w:rPr>
  </w:style>
  <w:style w:type="paragraph" w:styleId="Subtitle">
    <w:name w:val="Subtitle"/>
    <w:rPr>
      <w:sz w:val="19"/>
      <w:color w:val="61666A"/>
    </w:rPr>
  </w:style>
  <w:style w:type="paragraph" w:styleId="Heading2">
    <w:name w:val="heading 2"/>
    <w:pPr>
      <w:keepNext/>
      <w:spacing w:before="260" w:after="140"/>
    </w:pPr>
    <w:rPr>
      <w:b/>
      <w:sz w:val="26"/>
    </w:rPr>
  </w:style>
</w:styles>
</file>

<file path=word/_rels/document.xml.rels><?xml version="1.0" encoding="UTF-8"?><Relationships xmlns="http://schemas.openxmlformats.org/package/2006/relationships"><Relationship Id="styles" Type="http://schemas.openxmlformats.org/officeDocument/2006/relationships/styles" Target="styles.xml"/><Relationship Id="image1" Type="http://schemas.openxmlformats.org/officeDocument/2006/relationships/image" Target="media/image1.jpg"/><Relationship Id="website" Type="http://schemas.openxmlformats.org/officeDocument/2006/relationships/hyperlink" Target="https://www.shleici.cn/" TargetMode="External"/></Relationships>
</file>