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SFK-506C型卡氏水分仪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699459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699459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pPr>
        <w:ind w:left="280" w:hanging="220"/>
      </w:pPr>
      <w:r>
        <w:t>• </w:t>
      </w:r>
      <w:r>
        <w:rPr/>
        <w:t xml:space="preserve">支持自动测量及卡氏炉自动测量</w:t>
      </w:r>
    </w:p>
    <w:p>
      <w:pPr>
        <w:ind w:left="280" w:hanging="220"/>
      </w:pPr>
      <w:r>
        <w:t>• </w:t>
      </w:r>
      <w:r>
        <w:rPr/>
        <w:t xml:space="preserve">支持数据存储、查阅、删除、传输和打印</w:t>
      </w:r>
    </w:p>
    <w:p>
      <w:pPr>
        <w:ind w:left="280" w:hanging="220"/>
      </w:pPr>
      <w:r>
        <w:t>• </w:t>
      </w:r>
      <w:r>
        <w:rPr/>
        <w:t xml:space="preserve">支持连接卡氏样品加热炉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pPr/>
            <w:r>
              <w:t xml:space="preserve">项目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SFK-506C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测量原理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卡尔费休库仑法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3.0μg～200mg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分辨率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0.1μg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≤0.3%（1000μg）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电位测量范围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（0～2000）mV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电位测量分辨率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0.1mV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显示单位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μg、mg、%、ppm、μg/L、mg/L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屏幕及操作方式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彩色触摸屏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溶剂管理器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支持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pPr/>
            <w:r>
              <w:t xml:space="preserve">语言</w:t>
            </w:r>
          </w:p>
          <w:p/>
        </w:tc>
        <w:tc>
          <w:tcPr>
            <w:tcW w:w="4930" w:type="dxa"/>
            <w:vAlign w:val="center"/>
          </w:tcPr>
          <w:p>
            <w:pPr/>
            <w:r>
              <w:t xml:space="preserve">中文、英文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website" Type="http://schemas.openxmlformats.org/officeDocument/2006/relationships/hyperlink" Target="https://www.shleici.cn/" TargetMode="External"/></Relationships>
</file>